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41E54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706E">
              <w:rPr>
                <w:sz w:val="14"/>
                <w:szCs w:val="24"/>
              </w:rPr>
              <w:br/>
              <w:t xml:space="preserve">3142C66BBD484D85B9FDA60FA84D4CB3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КАЗЕННОЕ УЧРЕЖДЕНИЕ "ЦЕНТР СОПРОВОЖДЕНИЯ ДЕЯТЕЛЬНОСТИ ОРГАНИЗАЦИЙ"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"18"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декабря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2018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наименовании юридического лица, внесенные в Единый государственный реестр юридических лиц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Муниципальные казенные учреждения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КАЗЕННОЕ УЧРЕЖДЕНИЕ "ЦЕНТР СОПРОВОЖДЕНИЯ ДЕЯТЕЛЬНОСТИ ОРГАНИЗАЦИЙ"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МКУ "ЦСДО"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8616011734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861601001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видах экономической деятельности, которыми занимается юридическое лицо, внесенные в Единый государственный реестр юридических лиц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видов экономической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62.02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вид деятельности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Исключение из реестра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63.99.1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вид деятельности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оказанию консультационных и информационных услуг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62.02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НИКИФОРОВ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ВЛАДИМИР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АНАТОЛЬЕВИЧ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661105140869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661105140869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06.12.2018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07.12.2018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РАСПОРЯЖЕНИЕ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05.12.2018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11.12.2018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07.12.2018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Инспекция Федеральной налоговой службы по Сургутскому району Ханты-Мансийского автономного округа - Югры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"19"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декабря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2018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Коротовских Елена Николаевна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C706E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9C70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06E" w:rsidRDefault="00941E5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06E" w:rsidRDefault="009C706E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9C706E">
      <w:footerReference w:type="default" r:id="rId9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6E" w:rsidRDefault="009C706E">
      <w:r>
        <w:separator/>
      </w:r>
    </w:p>
  </w:endnote>
  <w:endnote w:type="continuationSeparator" w:id="0">
    <w:p w:rsidR="009C706E" w:rsidRDefault="009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>
      <w:fldChar w:fldCharType="separate"/>
    </w:r>
    <w:r w:rsidR="00941E5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6E" w:rsidRDefault="009C706E">
      <w:r>
        <w:separator/>
      </w:r>
    </w:p>
  </w:footnote>
  <w:footnote w:type="continuationSeparator" w:id="0">
    <w:p w:rsidR="009C706E" w:rsidRDefault="009C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F3"/>
    <w:rsid w:val="000A1099"/>
    <w:rsid w:val="003561C1"/>
    <w:rsid w:val="00941E54"/>
    <w:rsid w:val="009C706E"/>
    <w:rsid w:val="00B807EA"/>
    <w:rsid w:val="00BE70F3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CF-004</dc:creator>
  <cp:lastModifiedBy>Главный инженер</cp:lastModifiedBy>
  <cp:revision>2</cp:revision>
  <dcterms:created xsi:type="dcterms:W3CDTF">2019-11-20T11:56:00Z</dcterms:created>
  <dcterms:modified xsi:type="dcterms:W3CDTF">2019-11-20T11:56:00Z</dcterms:modified>
</cp:coreProperties>
</file>