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 w:right="-852"/>
        <w:jc w:val="both"/>
        <w:tabs>
          <w:tab w:val="left" w:pos="135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управления образования администрации Кондинского района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</w:t>
      </w:r>
      <w:r>
        <w:rPr>
          <w:b/>
          <w:sz w:val="28"/>
          <w:szCs w:val="28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реализации в 2021-2025 годах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Кондинском</w:t>
      </w:r>
      <w:r>
        <w:rPr>
          <w:b/>
          <w:sz w:val="28"/>
          <w:szCs w:val="28"/>
        </w:rPr>
        <w:t xml:space="preserve"> районе</w:t>
      </w:r>
      <w:r>
        <w:rPr>
          <w:b/>
          <w:sz w:val="28"/>
          <w:szCs w:val="28"/>
        </w:rPr>
        <w:t xml:space="preserve"> Стратегии развития воспитания </w:t>
      </w:r>
      <w:r>
        <w:rPr>
          <w:b/>
          <w:sz w:val="28"/>
          <w:szCs w:val="28"/>
        </w:rPr>
        <w:t xml:space="preserve">в Российской Федерации </w:t>
      </w:r>
      <w:r>
        <w:rPr>
          <w:b/>
          <w:sz w:val="28"/>
          <w:szCs w:val="28"/>
        </w:rPr>
        <w:t xml:space="preserve">на период до 2025 года, утверждённой распоряжением Правительства </w:t>
      </w:r>
      <w:r>
        <w:rPr>
          <w:b/>
          <w:sz w:val="28"/>
          <w:szCs w:val="28"/>
        </w:rPr>
        <w:t xml:space="preserve">Российской Федерации от 29 мая 2015 года № 996-р</w:t>
      </w:r>
      <w:r/>
    </w:p>
    <w:tbl>
      <w:tblPr>
        <w:tblpPr w:horzAnchor="margin" w:tblpXSpec="center" w:vertAnchor="text" w:tblpY="297" w:leftFromText="181" w:topFromText="0" w:rightFromText="181" w:bottomFromText="0"/>
        <w:tblW w:w="10881" w:type="dxa"/>
        <w:tblLayout w:type="fixed"/>
        <w:tblLook w:val="0600" w:firstRow="0" w:lastRow="0" w:firstColumn="0" w:lastColumn="0" w:noHBand="1" w:noVBand="1"/>
      </w:tblPr>
      <w:tblGrid>
        <w:gridCol w:w="568"/>
        <w:gridCol w:w="4394"/>
        <w:gridCol w:w="1242"/>
        <w:gridCol w:w="2551"/>
        <w:gridCol w:w="212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b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sz w:val="24"/>
                <w:szCs w:val="24"/>
                <w:lang w:eastAsia="ar-SA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b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sz w:val="24"/>
                <w:szCs w:val="24"/>
                <w:lang w:eastAsia="ar-SA"/>
              </w:rPr>
              <w:t xml:space="preserve">Наименование мероприятия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b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sz w:val="24"/>
                <w:szCs w:val="24"/>
                <w:lang w:eastAsia="ar-SA"/>
              </w:rPr>
              <w:t xml:space="preserve">Срок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b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sz w:val="24"/>
                <w:szCs w:val="24"/>
                <w:lang w:eastAsia="ar-SA"/>
              </w:rPr>
              <w:t xml:space="preserve">Ответственный исполнитель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sz w:val="24"/>
                <w:szCs w:val="24"/>
                <w:lang w:eastAsia="ar-SA"/>
              </w:rPr>
              <w:t xml:space="preserve">Вид документа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3" w:type="dxa"/>
            <w:textDirection w:val="lrTb"/>
            <w:noWrap w:val="false"/>
          </w:tcPr>
          <w:p>
            <w:pPr>
              <w:ind w:firstLine="540"/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i/>
                <w:iCs/>
                <w:sz w:val="24"/>
                <w:szCs w:val="24"/>
                <w:lang w:eastAsia="ar-SA"/>
              </w:rPr>
              <w:t xml:space="preserve">1. Совершенствование нормативно-правового регулирования в сфере воспитания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Актуализация рабочих программ воспитания и календарных планов воспитательной работы в дошкольных образовательных организациях, общеобразовательных организациях и профессиональных образовательных организациях (далее -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образовательные организации 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муниципального образования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муниципального образования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на основе примерной рабочей программы воспитания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 год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организации 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Кондинского района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материалы, аналитический отчет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3" w:type="dxa"/>
            <w:textDirection w:val="lrTb"/>
            <w:noWrap w:val="false"/>
          </w:tcPr>
          <w:p>
            <w:pPr>
              <w:ind w:firstLine="540"/>
              <w:jc w:val="center"/>
              <w:spacing w:line="22" w:lineRule="atLeast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2. Совершенствование организационно-управленческих механизмов в сфере воспитания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и анализ региональной программы развития </w:t>
            </w:r>
            <w:r>
              <w:rPr>
                <w:sz w:val="24"/>
                <w:szCs w:val="24"/>
              </w:rPr>
              <w:t xml:space="preserve">воспитания </w:t>
            </w:r>
            <w:r>
              <w:rPr>
                <w:sz w:val="24"/>
                <w:szCs w:val="24"/>
              </w:rPr>
              <w:t xml:space="preserve">на 2021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2025 годы в рамках </w:t>
            </w:r>
            <w:r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Стратегии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 год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Доклад в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Минпросвещения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России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3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Организационно-методическое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с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опровождение формирования и реализации календарных планов к рабочим программам воспитания  образовательных организаций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4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Развитие механизмов межведомственного взаимодействия по реализации направлений с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истемы воспитания, в том числе проведение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 социальное воспитание и развитие творческих способностей: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обобщение и распространение опыта образовательных организаций, эффективно обеспечивающих консолидацию усилий всех социальных институтов по воспитанию и социализации детей</w:t>
            </w:r>
            <w:r>
              <w:rPr>
                <w:rFonts w:eastAsia="SimSun"/>
                <w:i/>
                <w:iCs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ежегодно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2023- 2024 гг.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5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iCs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Разработка и внедрение системы мотивации обучающихся образовательных организаций: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iCs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</w:r>
            <w:r/>
          </w:p>
          <w:p>
            <w:pPr>
              <w:jc w:val="both"/>
              <w:spacing w:line="22" w:lineRule="atLeast"/>
              <w:rPr>
                <w:rFonts w:eastAsia="SimSun"/>
                <w:iCs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обобщение опыта образовательных организаций по внедрению системы мотивации обучающихся к личностному росту, активной гражданской позиции и ответственности, основанных на традиционных духовно-нравственных и культурных ценностях российского общества;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подготовка методических рекомендаций для педагогических коллективов образовательных организаций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.</w:t>
            </w:r>
            <w:r>
              <w:rPr>
                <w:rFonts w:eastAsia="SimSun"/>
                <w:i/>
                <w:iCs/>
                <w:sz w:val="24"/>
                <w:szCs w:val="24"/>
                <w:lang w:eastAsia="ar-SA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2023 год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2023 год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6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iCs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поддержку семейного воспитания: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информирование родительской общественности о реализации Стратегии, в том числе, в ходе окружного родительского собрания;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информационно-методическое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с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опровождение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ценностей;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проведение мероприятий, подготовка цикла ТВ передач, направленных на повышение социальной и педагогической компетентности родителей, повышение социального статуса и престижа отцовства и материнства;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проведение мониторинга общественного родительского мнения по вопросам воспитания и социализации детей (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гугл-опросник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)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 год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 год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2023 год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2023 год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и аналитические материалы 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7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Меры по расширению воспитательных возможностей информационных ресурсов: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информационно-методическое сопровождение деятельности школьных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медиа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(семинары,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вебинары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для специалистов общеобразовательных организаций), в том числе: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создание и сопровождение сетевого сообщества начинающих журналистов и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блогеров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;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содействие (с привлечение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м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действующих на территории автономного округа СМИ) в производстве и размещении социальной рекламы и видеороликов в информационно-телекоммуникационной сети «Интернет», на сайтах образовательных организаций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2023-2025 гг., ежегодно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8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поддержку детских общественных объединений:</w:t>
            </w:r>
            <w:r/>
          </w:p>
          <w:p>
            <w:pPr>
              <w:jc w:val="both"/>
              <w:spacing w:line="22" w:lineRule="atLeast"/>
              <w:shd w:val="clear" w:color="auto" w:fill="ffffff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проведение обучающих семинаров и круглых столов для активов общественных объединений и специалистов в области воспитания, участвующих в работе детских общественных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объединений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;</w:t>
            </w:r>
            <w:r/>
          </w:p>
          <w:p>
            <w:pPr>
              <w:jc w:val="both"/>
              <w:spacing w:line="22" w:lineRule="atLeast"/>
              <w:shd w:val="clear" w:color="auto" w:fill="ffffff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информационно-методическое сопровождение деятельности детских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общественных объединений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;</w:t>
            </w:r>
            <w:r/>
          </w:p>
          <w:p>
            <w:pPr>
              <w:jc w:val="both"/>
              <w:spacing w:line="22" w:lineRule="atLeast"/>
              <w:shd w:val="clear" w:color="auto" w:fill="ffffff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актуализация информационно-организационного ресурса (банка данных) детских общественных объединений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ежегодно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9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гражданское и патриотическое воспитание, формирование российской идентичности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1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0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духовное и нравственное воспитание на основе российских традиционных ценностей, в том числе казачество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приобщение детей к культурному наследию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популяризацию научных знаний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r>
            <w:r/>
          </w:p>
          <w:p>
            <w:pPr>
              <w:jc w:val="both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3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физическое развитие и формирование культуры здоровья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4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трудовое воспитание и профессиональное самоопределение</w:t>
            </w: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5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экологическое воспитание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16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Профилактика социального сиротства, безнадзорности и правонарушений несовершеннолетних: </w:t>
            </w:r>
            <w:r/>
          </w:p>
          <w:p>
            <w:pPr>
              <w:jc w:val="both"/>
              <w:spacing w:line="22" w:lineRule="atLeast"/>
              <w:rPr>
                <w:rFonts w:eastAsia="SimSu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подготовка методических рекомендаций по организации работы с детьми, находящимися в трудной жизненной ситуации, социально опасном положении. Выявление и диссеминац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ия лучших практик на территории автономного округа по организации работы образовательных организаций по оказанию психолого-педагогической, методической, консультативной помощи законным представителям детей-сирот и детей, оставшихся без попечения родителей 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17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Организация деятельности постоянно действующей группы экспертов при федеральном кураторе по координации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процесса сопровождения реализации рабочих программ воспитания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образовательных организациях автономного округа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 ежегодно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Приказ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Депобразования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и молодежи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Югры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3" w:type="dxa"/>
            <w:textDirection w:val="lrTb"/>
            <w:noWrap w:val="false"/>
          </w:tcPr>
          <w:p>
            <w:pPr>
              <w:ind w:firstLine="540"/>
              <w:jc w:val="center"/>
              <w:spacing w:line="22" w:lineRule="atLeast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3. Развитие кадрового потенциала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18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shd w:val="clear" w:color="auto" w:fill="ffffff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iCs/>
                <w:sz w:val="24"/>
                <w:szCs w:val="24"/>
                <w:lang w:eastAsia="ar-SA"/>
              </w:rPr>
              <w:t xml:space="preserve">Проведение мониторинга и 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комплексного анализа кадрового обеспечения образовательных организаций автономного округа специалистами в сфере воспитания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 год,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2024 год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методические и аналитические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19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shd w:val="clear" w:color="auto" w:fill="ffffff"/>
              <w:rPr>
                <w:rFonts w:eastAsia="SimSun"/>
                <w:iCs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Выявление лучших практик и технологий инновационного педагогического опыта в сфере воспитания и социализации обучающихся.</w:t>
            </w:r>
            <w:r/>
          </w:p>
          <w:p>
            <w:pPr>
              <w:jc w:val="both"/>
              <w:spacing w:line="22" w:lineRule="atLeast"/>
              <w:shd w:val="clear" w:color="auto" w:fill="ffffff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Создание банка инновационных региональных программ, методов и технологий в сфере воспитания и социализации детей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 ежегодно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Банк данных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20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Организация работы по формированию сети региональных инновационных площадок по приоритетным тематическим направлениям развития воспитания в сфере образования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8187" w:type="dxa"/>
            <w:textDirection w:val="lrTb"/>
            <w:noWrap w:val="false"/>
          </w:tcPr>
          <w:p>
            <w:pPr>
              <w:ind w:firstLine="540"/>
              <w:jc w:val="center"/>
              <w:spacing w:line="22" w:lineRule="atLeast"/>
              <w:rPr>
                <w:rFonts w:eastAsia="SimSu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i/>
                <w:color w:val="000000"/>
                <w:sz w:val="24"/>
                <w:szCs w:val="24"/>
                <w:lang w:eastAsia="ar-SA"/>
              </w:rPr>
              <w:t xml:space="preserve">4. Развитие научно-методических механизмов в сфере воспитания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color w:val="FF0000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21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Участие в общероссийских мероприятиях, организация и проведение окружных конференций, семинаров, 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вебинаров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 по актуальным вопросам воспитания, в том числе с участием родительской общественности и общественных организаций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2021-2025 гг., 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b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Методическое сопровождение специалистов в сфере образования, ответственных за реализацию воспитательной работы в образовательных организациях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23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Разработка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и внедрение в практику работы 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программы по формированию законопослушного поведения несовершеннолетних, в том числе с ограниченными возможностями здоровья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1 квартал 2022 года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Программа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3" w:type="dxa"/>
            <w:textDirection w:val="lrTb"/>
            <w:noWrap w:val="false"/>
          </w:tcPr>
          <w:p>
            <w:pPr>
              <w:ind w:firstLine="540"/>
              <w:jc w:val="center"/>
              <w:spacing w:line="22" w:lineRule="atLeast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5. Развитие материально-технической базы и инфраструктуры в сфере воспитания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24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shd w:val="clear" w:color="auto" w:fill="ffffff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Организация и проведение мероприятий, направленных на поддержку и развитие инфраструктуры детских общественных объединений, («Российское движение школьников», «Самбо», «ШСК», «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Юнармия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»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 и др.</w:t>
            </w: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3" w:type="dxa"/>
            <w:textDirection w:val="lrTb"/>
            <w:noWrap w:val="false"/>
          </w:tcPr>
          <w:p>
            <w:pPr>
              <w:ind w:firstLine="540"/>
              <w:jc w:val="center"/>
              <w:spacing w:line="22" w:lineRule="atLeast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6. Развитие информационных механизмов в сфере воспитания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25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Информационное обеспечение мероприятий по реализации Стратегии с привлечением средств массовой информации, сайта 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Депобразования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 и молодежи 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Югры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АУ «Институт развития образования», 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сетевых сообще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ств сп</w:t>
            </w:r>
            <w:r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  <w:t xml:space="preserve">ециалистов в сфере воспитания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2022-2025 гг.,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26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Мониторинг наполнения раздела «Рабочая программа воспитания» на сайтах 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образовательных организаций, подведомственных государственным органам исполнительной власти Югры 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2022 год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материалы, аналитический отчет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27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Создание и распространение позитивного контента для детей и молодежи, в том числе в информационно-телекоммуникационной сети «Интернет»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ежегодно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района,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 Кондинского района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3" w:type="dxa"/>
            <w:textDirection w:val="lrTb"/>
            <w:noWrap w:val="false"/>
          </w:tcPr>
          <w:p>
            <w:pPr>
              <w:ind w:firstLine="540"/>
              <w:jc w:val="center"/>
              <w:spacing w:line="22" w:lineRule="atLeast"/>
              <w:rPr>
                <w:rFonts w:eastAsia="SimSu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7. Управление реализацией Стратегии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28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iCs/>
                <w:sz w:val="24"/>
                <w:szCs w:val="24"/>
                <w:lang w:eastAsia="ar-SA"/>
              </w:rPr>
              <w:t xml:space="preserve">Совершенствование системы показателей для оценки эффективности деятельности образовательных организаций, отражающих эффективность воспитательной работы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2022-2025 гг., ежегодно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Управление образовани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я</w:t>
            </w: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 администрации Кондинского района</w:t>
            </w:r>
            <w:r/>
          </w:p>
          <w:p>
            <w:pPr>
              <w:jc w:val="center"/>
              <w:spacing w:line="22" w:lineRule="atLeast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="22" w:lineRule="atLeast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 xml:space="preserve">Информационно-методические материалы</w:t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851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Verdana">
    <w:panose1 w:val="020B0603030804020204"/>
  </w:font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  <w:rPr>
        <w:rStyle w:val="778"/>
      </w:rPr>
      <w:framePr w:wrap="around" w:vAnchor="text" w:hAnchor="margin" w:xAlign="center" w:y="1"/>
    </w:pPr>
    <w:r>
      <w:rPr>
        <w:rStyle w:val="778"/>
      </w:rPr>
      <w:fldChar w:fldCharType="begin"/>
    </w:r>
    <w:r>
      <w:rPr>
        <w:rStyle w:val="778"/>
      </w:rPr>
      <w:instrText xml:space="preserve">PAGE  </w:instrText>
    </w:r>
    <w:r>
      <w:rPr>
        <w:rStyle w:val="778"/>
      </w:rPr>
      <w:fldChar w:fldCharType="end"/>
    </w:r>
    <w:r/>
  </w:p>
  <w:p>
    <w:pPr>
      <w:pStyle w:val="77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7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5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17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2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3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3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3" w:hanging="144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8"/>
  </w:num>
  <w:num w:numId="2">
    <w:abstractNumId w:val="6"/>
  </w:num>
  <w:num w:numId="3">
    <w:abstractNumId w:val="43"/>
  </w:num>
  <w:num w:numId="4">
    <w:abstractNumId w:val="42"/>
  </w:num>
  <w:num w:numId="5">
    <w:abstractNumId w:val="19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5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9"/>
  </w:num>
  <w:num w:numId="22">
    <w:abstractNumId w:val="16"/>
  </w:num>
  <w:num w:numId="23">
    <w:abstractNumId w:val="33"/>
  </w:num>
  <w:num w:numId="24">
    <w:abstractNumId w:val="29"/>
  </w:num>
  <w:num w:numId="25">
    <w:abstractNumId w:val="2"/>
  </w:num>
  <w:num w:numId="26">
    <w:abstractNumId w:val="36"/>
  </w:num>
  <w:num w:numId="27">
    <w:abstractNumId w:val="31"/>
  </w:num>
  <w:num w:numId="28">
    <w:abstractNumId w:val="21"/>
  </w:num>
  <w:num w:numId="29">
    <w:abstractNumId w:val="44"/>
  </w:num>
  <w:num w:numId="30">
    <w:abstractNumId w:val="22"/>
  </w:num>
  <w:num w:numId="31">
    <w:abstractNumId w:val="30"/>
  </w:num>
  <w:num w:numId="32">
    <w:abstractNumId w:val="14"/>
  </w:num>
  <w:num w:numId="33">
    <w:abstractNumId w:val="0"/>
  </w:num>
  <w:num w:numId="34">
    <w:abstractNumId w:val="12"/>
  </w:num>
  <w:num w:numId="35">
    <w:abstractNumId w:val="40"/>
  </w:num>
  <w:num w:numId="36">
    <w:abstractNumId w:val="26"/>
  </w:num>
  <w:num w:numId="37">
    <w:abstractNumId w:val="34"/>
  </w:num>
  <w:num w:numId="38">
    <w:abstractNumId w:val="23"/>
  </w:num>
  <w:num w:numId="39">
    <w:abstractNumId w:val="1"/>
  </w:num>
  <w:num w:numId="40">
    <w:abstractNumId w:val="18"/>
  </w:num>
  <w:num w:numId="41">
    <w:abstractNumId w:val="24"/>
  </w:num>
  <w:num w:numId="42">
    <w:abstractNumId w:val="27"/>
  </w:num>
  <w:num w:numId="43">
    <w:abstractNumId w:val="37"/>
  </w:num>
  <w:num w:numId="44">
    <w:abstractNumId w:val="20"/>
  </w:num>
  <w:num w:numId="45">
    <w:abstractNumId w:val="25"/>
  </w:num>
  <w:num w:numId="46">
    <w:abstractNumId w:val="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0"/>
    <w:link w:val="7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0"/>
    <w:link w:val="7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0"/>
    <w:link w:val="7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0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0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3"/>
    <w:next w:val="74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50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0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3"/>
    <w:next w:val="74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5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3"/>
    <w:next w:val="74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5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50"/>
    <w:link w:val="765"/>
    <w:uiPriority w:val="10"/>
    <w:rPr>
      <w:sz w:val="48"/>
      <w:szCs w:val="48"/>
    </w:rPr>
  </w:style>
  <w:style w:type="paragraph" w:styleId="34">
    <w:name w:val="Subtitle"/>
    <w:basedOn w:val="743"/>
    <w:next w:val="74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50"/>
    <w:link w:val="34"/>
    <w:uiPriority w:val="11"/>
    <w:rPr>
      <w:sz w:val="24"/>
      <w:szCs w:val="24"/>
    </w:rPr>
  </w:style>
  <w:style w:type="paragraph" w:styleId="36">
    <w:name w:val="Quote"/>
    <w:basedOn w:val="743"/>
    <w:next w:val="74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3"/>
    <w:next w:val="74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0"/>
    <w:link w:val="771"/>
    <w:uiPriority w:val="99"/>
  </w:style>
  <w:style w:type="character" w:styleId="43">
    <w:name w:val="Footer Char"/>
    <w:basedOn w:val="750"/>
    <w:link w:val="772"/>
    <w:uiPriority w:val="99"/>
  </w:style>
  <w:style w:type="paragraph" w:styleId="44">
    <w:name w:val="Caption"/>
    <w:basedOn w:val="743"/>
    <w:next w:val="7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72"/>
    <w:uiPriority w:val="99"/>
  </w:style>
  <w:style w:type="table" w:styleId="47">
    <w:name w:val="Table Grid Light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0"/>
    <w:uiPriority w:val="99"/>
    <w:unhideWhenUsed/>
    <w:rPr>
      <w:vertAlign w:val="superscript"/>
    </w:rPr>
  </w:style>
  <w:style w:type="paragraph" w:styleId="176">
    <w:name w:val="endnote text"/>
    <w:basedOn w:val="74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0"/>
    <w:uiPriority w:val="99"/>
    <w:semiHidden/>
    <w:unhideWhenUsed/>
    <w:rPr>
      <w:vertAlign w:val="superscript"/>
    </w:rPr>
  </w:style>
  <w:style w:type="paragraph" w:styleId="179">
    <w:name w:val="toc 1"/>
    <w:basedOn w:val="743"/>
    <w:next w:val="74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3"/>
    <w:next w:val="74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3"/>
    <w:next w:val="74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3"/>
    <w:next w:val="74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3"/>
    <w:next w:val="74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3"/>
    <w:next w:val="74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3"/>
    <w:next w:val="74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3"/>
    <w:next w:val="74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3"/>
    <w:next w:val="74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3"/>
    <w:next w:val="743"/>
    <w:uiPriority w:val="99"/>
    <w:unhideWhenUsed/>
    <w:pPr>
      <w:spacing w:after="0" w:afterAutospacing="0"/>
    </w:pPr>
  </w:style>
  <w:style w:type="paragraph" w:styleId="743" w:default="1">
    <w:name w:val="Normal"/>
    <w:qFormat/>
    <w:rPr>
      <w:rFonts w:ascii="Times New Roman" w:hAnsi="Times New Roman" w:eastAsia="Times New Roman"/>
    </w:rPr>
  </w:style>
  <w:style w:type="paragraph" w:styleId="744">
    <w:name w:val="Heading 1"/>
    <w:basedOn w:val="743"/>
    <w:next w:val="743"/>
    <w:link w:val="788"/>
    <w:qFormat/>
    <w:pPr>
      <w:keepNext/>
      <w:outlineLvl w:val="0"/>
    </w:pPr>
    <w:rPr>
      <w:sz w:val="28"/>
      <w:szCs w:val="24"/>
    </w:rPr>
  </w:style>
  <w:style w:type="paragraph" w:styleId="745">
    <w:name w:val="Heading 2"/>
    <w:basedOn w:val="743"/>
    <w:next w:val="743"/>
    <w:link w:val="78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46">
    <w:name w:val="Heading 3"/>
    <w:basedOn w:val="743"/>
    <w:next w:val="74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47">
    <w:name w:val="Heading 4"/>
    <w:basedOn w:val="743"/>
    <w:next w:val="743"/>
    <w:qFormat/>
    <w:pPr>
      <w:keepNext/>
      <w:outlineLvl w:val="3"/>
    </w:pPr>
    <w:rPr>
      <w:b/>
      <w:bCs/>
      <w:sz w:val="28"/>
      <w:szCs w:val="24"/>
    </w:rPr>
  </w:style>
  <w:style w:type="paragraph" w:styleId="748">
    <w:name w:val="Heading 5"/>
    <w:basedOn w:val="743"/>
    <w:next w:val="743"/>
    <w:qFormat/>
    <w:pPr>
      <w:jc w:val="center"/>
      <w:keepNext/>
      <w:outlineLvl w:val="4"/>
    </w:pPr>
    <w:rPr>
      <w:i/>
      <w:sz w:val="24"/>
      <w:szCs w:val="24"/>
    </w:rPr>
  </w:style>
  <w:style w:type="paragraph" w:styleId="749">
    <w:name w:val="Heading 7"/>
    <w:basedOn w:val="743"/>
    <w:next w:val="743"/>
    <w:qFormat/>
    <w:pPr>
      <w:spacing w:before="240" w:after="60"/>
      <w:outlineLvl w:val="6"/>
    </w:pPr>
    <w:rPr>
      <w:sz w:val="24"/>
      <w:szCs w:val="24"/>
    </w:r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paragraph" w:styleId="753">
    <w:name w:val="Balloon Text"/>
    <w:basedOn w:val="743"/>
    <w:link w:val="754"/>
    <w:uiPriority w:val="99"/>
    <w:semiHidden/>
    <w:unhideWhenUsed/>
    <w:rPr>
      <w:rFonts w:ascii="Tahoma" w:hAnsi="Tahoma" w:cs="Tahoma"/>
      <w:sz w:val="16"/>
      <w:szCs w:val="16"/>
    </w:rPr>
  </w:style>
  <w:style w:type="character" w:styleId="754" w:customStyle="1">
    <w:name w:val="Текст выноски Знак"/>
    <w:link w:val="753"/>
    <w:uiPriority w:val="99"/>
    <w:semiHidden/>
    <w:rPr>
      <w:rFonts w:ascii="Tahoma" w:hAnsi="Tahoma" w:cs="Tahoma"/>
      <w:sz w:val="16"/>
      <w:szCs w:val="16"/>
    </w:rPr>
  </w:style>
  <w:style w:type="paragraph" w:styleId="755">
    <w:name w:val="E-mail Signature"/>
    <w:basedOn w:val="743"/>
    <w:link w:val="756"/>
    <w:uiPriority w:val="99"/>
    <w:semiHidden/>
    <w:unhideWhenUsed/>
    <w:rPr>
      <w:rFonts w:ascii="Calibri" w:hAnsi="Calibri"/>
      <w:sz w:val="22"/>
      <w:szCs w:val="22"/>
    </w:rPr>
  </w:style>
  <w:style w:type="character" w:styleId="756" w:customStyle="1">
    <w:name w:val="Электронная подпись Знак"/>
    <w:link w:val="755"/>
    <w:uiPriority w:val="99"/>
    <w:semiHidden/>
    <w:rPr>
      <w:rFonts w:ascii="Calibri" w:hAnsi="Calibri" w:cs="Times New Roman" w:eastAsia="Times New Roman"/>
      <w:lang w:eastAsia="ru-RU"/>
    </w:rPr>
  </w:style>
  <w:style w:type="paragraph" w:styleId="757" w:customStyle="1">
    <w:name w:val="Знак"/>
    <w:basedOn w:val="74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758">
    <w:name w:val="Table Grid"/>
    <w:basedOn w:val="75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9">
    <w:name w:val="Body Text Indent"/>
    <w:basedOn w:val="743"/>
    <w:pPr>
      <w:ind w:left="283"/>
      <w:spacing w:after="120"/>
    </w:pPr>
    <w:rPr>
      <w:sz w:val="24"/>
      <w:szCs w:val="24"/>
    </w:rPr>
  </w:style>
  <w:style w:type="paragraph" w:styleId="760" w:customStyle="1">
    <w:name w:val="ConsPlusNormal"/>
    <w:pPr>
      <w:ind w:firstLine="720"/>
      <w:widowControl w:val="off"/>
    </w:pPr>
    <w:rPr>
      <w:rFonts w:ascii="Arial" w:hAnsi="Arial" w:cs="Arial" w:eastAsia="Times New Roman"/>
    </w:rPr>
  </w:style>
  <w:style w:type="paragraph" w:styleId="761">
    <w:name w:val="List Paragraph"/>
    <w:basedOn w:val="743"/>
    <w:link w:val="79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762">
    <w:name w:val="Body Text"/>
    <w:basedOn w:val="743"/>
    <w:link w:val="789"/>
    <w:pPr>
      <w:spacing w:after="120"/>
    </w:pPr>
  </w:style>
  <w:style w:type="character" w:styleId="763">
    <w:name w:val="Hyperlink"/>
    <w:unhideWhenUsed/>
    <w:rPr>
      <w:color w:val="0000FF"/>
      <w:u w:val="single"/>
    </w:rPr>
  </w:style>
  <w:style w:type="character" w:styleId="764">
    <w:name w:val="FollowedHyperlink"/>
    <w:rPr>
      <w:color w:val="800080"/>
      <w:u w:val="single"/>
    </w:rPr>
  </w:style>
  <w:style w:type="paragraph" w:styleId="765">
    <w:name w:val="Title"/>
    <w:basedOn w:val="743"/>
    <w:qFormat/>
    <w:pPr>
      <w:jc w:val="center"/>
    </w:pPr>
    <w:rPr>
      <w:b/>
      <w:sz w:val="24"/>
      <w:szCs w:val="24"/>
    </w:rPr>
  </w:style>
  <w:style w:type="paragraph" w:styleId="766">
    <w:name w:val="Body Text Indent 2"/>
    <w:basedOn w:val="743"/>
    <w:pPr>
      <w:ind w:left="708"/>
      <w:jc w:val="both"/>
    </w:pPr>
    <w:rPr>
      <w:sz w:val="28"/>
      <w:szCs w:val="24"/>
    </w:rPr>
  </w:style>
  <w:style w:type="paragraph" w:styleId="767">
    <w:name w:val="Body Text Indent 3"/>
    <w:basedOn w:val="743"/>
    <w:pPr>
      <w:ind w:left="708" w:firstLine="709"/>
      <w:jc w:val="both"/>
    </w:pPr>
    <w:rPr>
      <w:sz w:val="28"/>
      <w:szCs w:val="24"/>
    </w:rPr>
  </w:style>
  <w:style w:type="paragraph" w:styleId="768">
    <w:name w:val="Body Text 2"/>
    <w:basedOn w:val="743"/>
    <w:pPr>
      <w:jc w:val="center"/>
    </w:pPr>
    <w:rPr>
      <w:bCs/>
      <w:sz w:val="28"/>
      <w:szCs w:val="24"/>
    </w:rPr>
  </w:style>
  <w:style w:type="character" w:styleId="769" w:customStyle="1">
    <w:name w:val="Заголовок 7 Знак"/>
    <w:rPr>
      <w:sz w:val="24"/>
      <w:szCs w:val="24"/>
    </w:rPr>
  </w:style>
  <w:style w:type="paragraph" w:styleId="770">
    <w:name w:val="Body Text 3"/>
    <w:basedOn w:val="743"/>
    <w:rPr>
      <w:sz w:val="24"/>
    </w:rPr>
  </w:style>
  <w:style w:type="paragraph" w:styleId="771">
    <w:name w:val="Header"/>
    <w:basedOn w:val="743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772">
    <w:name w:val="Footer"/>
    <w:basedOn w:val="743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773" w:customStyle="1">
    <w:name w:val="Знак1 Знак Знак Знак Знак Знак Знак"/>
    <w:basedOn w:val="743"/>
    <w:pPr>
      <w:spacing w:after="160" w:line="240" w:lineRule="exact"/>
    </w:pPr>
    <w:rPr>
      <w:rFonts w:ascii="Verdana" w:hAnsi="Verdana"/>
      <w:lang w:val="en-US" w:eastAsia="en-US"/>
    </w:rPr>
  </w:style>
  <w:style w:type="paragraph" w:styleId="774" w:customStyle="1">
    <w:name w:val="Знак1"/>
    <w:basedOn w:val="743"/>
    <w:pPr>
      <w:spacing w:after="160" w:line="240" w:lineRule="exact"/>
    </w:pPr>
    <w:rPr>
      <w:rFonts w:ascii="Verdana" w:hAnsi="Verdana"/>
      <w:lang w:val="en-US" w:eastAsia="en-US"/>
    </w:rPr>
  </w:style>
  <w:style w:type="paragraph" w:styleId="775" w:customStyle="1">
    <w:name w:val="Знак"/>
    <w:basedOn w:val="743"/>
    <w:pPr>
      <w:spacing w:after="160" w:line="240" w:lineRule="exact"/>
    </w:pPr>
    <w:rPr>
      <w:rFonts w:ascii="Verdana" w:hAnsi="Verdana"/>
      <w:lang w:val="en-US" w:eastAsia="en-US"/>
    </w:rPr>
  </w:style>
  <w:style w:type="paragraph" w:styleId="776">
    <w:name w:val="Plain Text"/>
    <w:basedOn w:val="743"/>
    <w:link w:val="786"/>
    <w:rPr>
      <w:rFonts w:ascii="Courier New" w:hAnsi="Courier New" w:cs="Courier New"/>
    </w:rPr>
  </w:style>
  <w:style w:type="paragraph" w:styleId="777">
    <w:name w:val="Normal (Web)"/>
    <w:basedOn w:val="743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778">
    <w:name w:val="page number"/>
    <w:basedOn w:val="750"/>
  </w:style>
  <w:style w:type="paragraph" w:styleId="779" w:customStyle="1">
    <w:name w:val="Основной текст 21"/>
    <w:basedOn w:val="743"/>
    <w:pPr>
      <w:ind w:firstLine="360"/>
      <w:jc w:val="both"/>
    </w:pPr>
    <w:rPr>
      <w:sz w:val="24"/>
    </w:rPr>
  </w:style>
  <w:style w:type="paragraph" w:styleId="780" w:customStyle="1">
    <w:name w:val="Знак Знак Знак Знак Знак Знак Знак Знак Знак Знак"/>
    <w:basedOn w:val="743"/>
    <w:pPr>
      <w:spacing w:after="160" w:line="240" w:lineRule="exact"/>
    </w:pPr>
    <w:rPr>
      <w:rFonts w:ascii="Verdana" w:hAnsi="Verdana"/>
      <w:lang w:val="en-US" w:eastAsia="en-US"/>
    </w:rPr>
  </w:style>
  <w:style w:type="paragraph" w:styleId="781" w:customStyle="1">
    <w:name w:val="Знак Знак Знак Знак"/>
    <w:basedOn w:val="743"/>
    <w:pPr>
      <w:spacing w:after="160" w:line="240" w:lineRule="exact"/>
    </w:pPr>
    <w:rPr>
      <w:rFonts w:ascii="Verdana" w:hAnsi="Verdana"/>
      <w:lang w:val="en-US" w:eastAsia="en-US"/>
    </w:rPr>
  </w:style>
  <w:style w:type="paragraph" w:styleId="782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783" w:customStyle="1">
    <w:name w:val="Заголовок 2 Знак"/>
    <w:link w:val="745"/>
    <w:rPr>
      <w:rFonts w:ascii="Arial" w:hAnsi="Arial" w:cs="Arial"/>
      <w:b/>
      <w:bCs/>
      <w:i/>
      <w:iCs/>
      <w:sz w:val="28"/>
      <w:szCs w:val="28"/>
      <w:lang w:val="ru-RU" w:bidi="ar-SA" w:eastAsia="ru-RU"/>
    </w:rPr>
  </w:style>
  <w:style w:type="character" w:styleId="784" w:customStyle="1">
    <w:name w:val="zagolovok"/>
    <w:basedOn w:val="750"/>
  </w:style>
  <w:style w:type="paragraph" w:styleId="785" w:customStyle="1">
    <w:name w:val="Char Char Char"/>
    <w:basedOn w:val="7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786" w:customStyle="1">
    <w:name w:val="Текст Знак"/>
    <w:link w:val="776"/>
    <w:rPr>
      <w:rFonts w:ascii="Courier New" w:hAnsi="Courier New" w:cs="Courier New"/>
      <w:lang w:val="ru-RU" w:bidi="ar-SA" w:eastAsia="ru-RU"/>
    </w:rPr>
  </w:style>
  <w:style w:type="character" w:styleId="787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788" w:customStyle="1">
    <w:name w:val="Заголовок 1 Знак"/>
    <w:link w:val="744"/>
    <w:rPr>
      <w:rFonts w:ascii="Times New Roman" w:hAnsi="Times New Roman" w:eastAsia="Times New Roman"/>
      <w:sz w:val="28"/>
      <w:szCs w:val="24"/>
    </w:rPr>
  </w:style>
  <w:style w:type="character" w:styleId="789" w:customStyle="1">
    <w:name w:val="Основной текст Знак"/>
    <w:link w:val="762"/>
    <w:rPr>
      <w:rFonts w:ascii="Times New Roman" w:hAnsi="Times New Roman" w:eastAsia="Times New Roman"/>
    </w:rPr>
  </w:style>
  <w:style w:type="character" w:styleId="790" w:customStyle="1">
    <w:name w:val="Абзац списка Знак"/>
    <w:link w:val="761"/>
    <w:uiPriority w:val="34"/>
    <w:rPr>
      <w:rFonts w:eastAsia="Times New Roman"/>
      <w:sz w:val="22"/>
      <w:szCs w:val="22"/>
    </w:rPr>
  </w:style>
  <w:style w:type="character" w:styleId="791" w:customStyle="1">
    <w:name w:val="Гипертекстовая ссылка"/>
    <w:uiPriority w:val="99"/>
    <w:rPr>
      <w:b/>
      <w:bCs/>
      <w:color w:val="106BBE"/>
    </w:rPr>
  </w:style>
  <w:style w:type="table" w:styleId="792" w:customStyle="1">
    <w:name w:val="Сетка таблицы1"/>
    <w:basedOn w:val="751"/>
    <w:next w:val="758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93" w:customStyle="1">
    <w:name w:val="Default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EC19786-BB3B-4E13-A36B-29A09333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ДОиН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Александра Пастушенко</cp:lastModifiedBy>
  <cp:revision>11</cp:revision>
  <dcterms:created xsi:type="dcterms:W3CDTF">2022-01-13T05:38:00Z</dcterms:created>
  <dcterms:modified xsi:type="dcterms:W3CDTF">2022-08-11T10:53:48Z</dcterms:modified>
</cp:coreProperties>
</file>