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D7" w:rsidRDefault="004156C3">
      <w:pPr>
        <w:pStyle w:val="ConsPlusNormal"/>
      </w:pPr>
      <w:r>
        <w:rPr>
          <w:b/>
        </w:rPr>
        <w:t>Название документа</w:t>
      </w:r>
    </w:p>
    <w:p w:rsidR="00540ED7" w:rsidRDefault="004156C3">
      <w:pPr>
        <w:pStyle w:val="ConsPlusNormal"/>
        <w:jc w:val="both"/>
      </w:pPr>
      <w:r>
        <w:t>Ситуация: Каковы особенности получения образования экстерном?</w:t>
      </w:r>
    </w:p>
    <w:p w:rsidR="00540ED7" w:rsidRDefault="004156C3">
      <w:pPr>
        <w:pStyle w:val="ConsPlusNormal"/>
        <w:jc w:val="both"/>
      </w:pPr>
      <w:r>
        <w:t>("Электронный журнал "Азбука права", 2024)</w:t>
      </w:r>
    </w:p>
    <w:p w:rsidR="00540ED7" w:rsidRDefault="004156C3">
      <w:pPr>
        <w:pStyle w:val="ConsPlusNormal"/>
      </w:pPr>
      <w:r>
        <w:rPr>
          <w:b/>
        </w:rPr>
        <w:t>Информация о публикации</w:t>
      </w:r>
    </w:p>
    <w:p w:rsidR="00540ED7" w:rsidRDefault="004156C3">
      <w:pPr>
        <w:pStyle w:val="ConsPlusNormal"/>
        <w:jc w:val="both"/>
      </w:pPr>
      <w:r>
        <w:t>Каковы особенности получения образования экстерном? // Азбука права: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ж</w:t>
      </w:r>
      <w:proofErr w:type="gramEnd"/>
      <w:r>
        <w:t>урн. 2024.</w:t>
      </w:r>
    </w:p>
    <w:p w:rsidR="00540ED7" w:rsidRDefault="004156C3">
      <w:pPr>
        <w:pStyle w:val="ConsPlusNormal"/>
        <w:spacing w:before="200"/>
      </w:pPr>
      <w:r>
        <w:rPr>
          <w:b/>
        </w:rPr>
        <w:t>Текст документа</w:t>
      </w:r>
    </w:p>
    <w:p w:rsidR="00540ED7" w:rsidRDefault="00540ED7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40E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ED7" w:rsidRDefault="00540E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ED7" w:rsidRDefault="00540E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0ED7" w:rsidRDefault="004156C3">
            <w:pPr>
              <w:pStyle w:val="ConsPlusNormal"/>
              <w:jc w:val="right"/>
            </w:pPr>
            <w:r>
              <w:rPr>
                <w:color w:val="392C69"/>
              </w:rPr>
              <w:t xml:space="preserve">Электронный журнал "Азбука права" | </w:t>
            </w:r>
            <w:r>
              <w:rPr>
                <w:b/>
                <w:color w:val="392C69"/>
              </w:rPr>
              <w:t>Актуально на 23.01.2024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ED7" w:rsidRDefault="00540ED7">
            <w:pPr>
              <w:pStyle w:val="ConsPlusNormal"/>
            </w:pPr>
          </w:p>
        </w:tc>
      </w:tr>
    </w:tbl>
    <w:p w:rsidR="00540ED7" w:rsidRDefault="004156C3">
      <w:pPr>
        <w:pStyle w:val="ConsPlusNormal"/>
        <w:spacing w:before="460"/>
      </w:pPr>
      <w:r>
        <w:rPr>
          <w:b/>
          <w:sz w:val="36"/>
        </w:rPr>
        <w:t>Каковы особенности получения образования экстерном?</w:t>
      </w:r>
    </w:p>
    <w:p w:rsidR="00540ED7" w:rsidRDefault="00540ED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80"/>
        <w:gridCol w:w="9787"/>
        <w:gridCol w:w="180"/>
      </w:tblGrid>
      <w:tr w:rsidR="00540E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ED7" w:rsidRDefault="00540ED7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ED7" w:rsidRDefault="00540E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540ED7" w:rsidRDefault="004156C3">
            <w:pPr>
              <w:pStyle w:val="ConsPlusNormal"/>
              <w:jc w:val="both"/>
            </w:pPr>
            <w:r>
              <w:t>Экстерны осваивают образовательную программу в форме самообразования, семейного образования или обучаются по не имеющей государственной аккредитации образовательной программе. Для прохождения промежуточной и итоговой аттестации они подают заявление о зачис</w:t>
            </w:r>
            <w:r>
              <w:t>лении в образовательную организацию соответствующего уровня.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ED7" w:rsidRDefault="00540ED7">
            <w:pPr>
              <w:pStyle w:val="ConsPlusNormal"/>
            </w:pPr>
          </w:p>
        </w:tc>
      </w:tr>
    </w:tbl>
    <w:p w:rsidR="00540ED7" w:rsidRDefault="00540ED7">
      <w:pPr>
        <w:pStyle w:val="ConsPlusNormal"/>
        <w:spacing w:before="380"/>
        <w:jc w:val="both"/>
      </w:pPr>
    </w:p>
    <w:p w:rsidR="00540ED7" w:rsidRDefault="004156C3">
      <w:pPr>
        <w:pStyle w:val="ConsPlusNormal"/>
        <w:outlineLvl w:val="0"/>
      </w:pPr>
      <w:r>
        <w:rPr>
          <w:b/>
          <w:sz w:val="30"/>
        </w:rPr>
        <w:t>Общий порядок получения образования экстерном</w:t>
      </w:r>
    </w:p>
    <w:p w:rsidR="00540ED7" w:rsidRDefault="004156C3">
      <w:pPr>
        <w:pStyle w:val="ConsPlusNormal"/>
        <w:spacing w:before="200"/>
        <w:jc w:val="both"/>
      </w:pPr>
      <w:proofErr w:type="gramStart"/>
      <w:r>
        <w:t xml:space="preserve">В настоящее время под получением образования экстерном понимается обучение вне организаций, осуществляющих образовательную деятельность (в форме семейного образования или самообразования) или обучение по образовательной программе, не имеющей </w:t>
      </w:r>
      <w:proofErr w:type="spellStart"/>
      <w:r>
        <w:t>госаккредитаци</w:t>
      </w:r>
      <w:r>
        <w:t>и</w:t>
      </w:r>
      <w:proofErr w:type="spellEnd"/>
      <w:r>
        <w:t>, с последующим зачислением в организацию, осуществляющую образовательную деятельность, для прохождения промежуточной и государственной итоговой аттестации (ч. 1, 3 ст. 17, п. 9 ч. 1 ст. 33, ч. 3 ст. 34 Закона от</w:t>
      </w:r>
      <w:proofErr w:type="gramEnd"/>
      <w:r>
        <w:t xml:space="preserve"> </w:t>
      </w:r>
      <w:proofErr w:type="gramStart"/>
      <w:r>
        <w:t>29.12.2012 N 273-ФЗ).</w:t>
      </w:r>
      <w:proofErr w:type="gramEnd"/>
    </w:p>
    <w:p w:rsidR="00540ED7" w:rsidRDefault="004156C3">
      <w:pPr>
        <w:pStyle w:val="ConsPlusNormal"/>
        <w:spacing w:before="200"/>
        <w:jc w:val="both"/>
      </w:pPr>
      <w:r>
        <w:t>Экстерном можно полу</w:t>
      </w:r>
      <w:r>
        <w:t>чить общее образование (начальное общее, основное общее и среднее общее образование) и профессиональное образование (среднее профессиональное и высшее образование).</w:t>
      </w:r>
    </w:p>
    <w:p w:rsidR="00540ED7" w:rsidRDefault="004156C3">
      <w:pPr>
        <w:pStyle w:val="ConsPlusNormal"/>
        <w:spacing w:before="200"/>
        <w:jc w:val="both"/>
      </w:pPr>
      <w:proofErr w:type="gramStart"/>
      <w:r>
        <w:t>При прохождении аттестации экстерны пользуются академическими правами обучающихся по соотве</w:t>
      </w:r>
      <w:r>
        <w:t xml:space="preserve">тствующей образовательной программе (ч. 4, 5 ст. 10, ч. 3 ст. 34 Закона N 273-ФЗ; п. 5 Порядка, утв. Приказом </w:t>
      </w:r>
      <w:proofErr w:type="spellStart"/>
      <w:r>
        <w:t>Минпросвещения</w:t>
      </w:r>
      <w:proofErr w:type="spellEnd"/>
      <w:r>
        <w:t xml:space="preserve"> России N 232, </w:t>
      </w:r>
      <w:proofErr w:type="spellStart"/>
      <w:r>
        <w:t>Рособрнадзора</w:t>
      </w:r>
      <w:proofErr w:type="spellEnd"/>
      <w:r>
        <w:t xml:space="preserve"> N 551 от 04.04.2023; п. 6 Порядка, утв. Приказом </w:t>
      </w:r>
      <w:proofErr w:type="spellStart"/>
      <w:r>
        <w:t>Минпросвещения</w:t>
      </w:r>
      <w:proofErr w:type="spellEnd"/>
      <w:r>
        <w:t xml:space="preserve"> России N 233, </w:t>
      </w:r>
      <w:proofErr w:type="spellStart"/>
      <w:r>
        <w:t>Рособрнадзора</w:t>
      </w:r>
      <w:proofErr w:type="spellEnd"/>
      <w:r>
        <w:t xml:space="preserve"> N 552 от 04</w:t>
      </w:r>
      <w:r>
        <w:t>.04.2023;</w:t>
      </w:r>
      <w:proofErr w:type="gramEnd"/>
      <w:r>
        <w:t xml:space="preserve"> </w:t>
      </w:r>
      <w:proofErr w:type="gramStart"/>
      <w:r>
        <w:t xml:space="preserve">п. 5 Порядка, утв. Приказом </w:t>
      </w:r>
      <w:proofErr w:type="spellStart"/>
      <w:r>
        <w:t>Минпросвещения</w:t>
      </w:r>
      <w:proofErr w:type="spellEnd"/>
      <w:r>
        <w:t xml:space="preserve"> России от 08.11.2021 N 800; п. 35 Порядка, утв. Приказом </w:t>
      </w:r>
      <w:proofErr w:type="spellStart"/>
      <w:r>
        <w:t>Минпросвещения</w:t>
      </w:r>
      <w:proofErr w:type="spellEnd"/>
      <w:r>
        <w:t xml:space="preserve"> России от 24.08.2022 N 762; п. 7 Порядка, утв. Приказом </w:t>
      </w:r>
      <w:proofErr w:type="spellStart"/>
      <w:r>
        <w:t>Минобрнауки</w:t>
      </w:r>
      <w:proofErr w:type="spellEnd"/>
      <w:r>
        <w:t xml:space="preserve"> России от 29.06.2015 N 636; п. 6 Порядка, утв. Приказом </w:t>
      </w:r>
      <w:proofErr w:type="spellStart"/>
      <w:r>
        <w:t>Минобрн</w:t>
      </w:r>
      <w:r>
        <w:t>ауки</w:t>
      </w:r>
      <w:proofErr w:type="spellEnd"/>
      <w:r>
        <w:t xml:space="preserve"> России от 18.03.2016 N 227; п. 43 Порядка, утв. Приказом </w:t>
      </w:r>
      <w:proofErr w:type="spellStart"/>
      <w:r>
        <w:t>Минобрнауки</w:t>
      </w:r>
      <w:proofErr w:type="spellEnd"/>
      <w:r>
        <w:t xml:space="preserve"> России от 19.11.2013 N 1259).</w:t>
      </w:r>
      <w:proofErr w:type="gramEnd"/>
    </w:p>
    <w:p w:rsidR="00540ED7" w:rsidRDefault="004156C3">
      <w:pPr>
        <w:pStyle w:val="ConsPlusNormal"/>
        <w:spacing w:before="200"/>
        <w:jc w:val="both"/>
      </w:pPr>
      <w:proofErr w:type="gramStart"/>
      <w:r>
        <w:t>Образовательные отношения между экстерном и образовательной организацией возникают на основании заявления родителей (законных представителей) экстерна о</w:t>
      </w:r>
      <w:r>
        <w:t xml:space="preserve"> прохождении промежуточной и (или) государственной итоговой аттестации в организации, осуществляющей образовательную деятельность, и на основании распорядительного акта указанной организации о приеме экстерна для прохождения промежуточной аттестации и (или</w:t>
      </w:r>
      <w:r>
        <w:t>) государственной итоговой аттестации (ч. 1 ст. 53 Закона N 273-ФЗ).</w:t>
      </w:r>
      <w:proofErr w:type="gramEnd"/>
    </w:p>
    <w:p w:rsidR="00540ED7" w:rsidRDefault="004156C3">
      <w:pPr>
        <w:pStyle w:val="ConsPlusNormal"/>
        <w:spacing w:before="200"/>
        <w:jc w:val="both"/>
      </w:pPr>
      <w:r>
        <w:t>Экстерны должны обеспечиваться учебниками и учебными пособиями из фондов библиотеки образовательной организации, в которой обучающиеся проходят аттестацию, или из специализированного библ</w:t>
      </w:r>
      <w:r>
        <w:t xml:space="preserve">иотечного фонда соответствующих субъектов РФ (муниципального образования) (п. 3 Письма </w:t>
      </w:r>
      <w:proofErr w:type="spellStart"/>
      <w:r>
        <w:t>Минобрнауки</w:t>
      </w:r>
      <w:proofErr w:type="spellEnd"/>
      <w:r>
        <w:t xml:space="preserve"> России от 15.11.2013 N НТ-1139/08).</w:t>
      </w:r>
    </w:p>
    <w:p w:rsidR="00540ED7" w:rsidRDefault="004156C3">
      <w:pPr>
        <w:pStyle w:val="ConsPlusNormal"/>
        <w:spacing w:before="200"/>
        <w:jc w:val="both"/>
      </w:pPr>
      <w:proofErr w:type="gramStart"/>
      <w:r>
        <w:lastRenderedPageBreak/>
        <w:t xml:space="preserve">При прохождении аттестации экстерны, в частности, имеют право на зачет образовательной организацией результатов освоения </w:t>
      </w:r>
      <w:r>
        <w:t>ими учебных предметов, курсов, дисциплин (модулей), практики, дополнительных образовательных программ в других образовательных организациях (ч. 3 ст. 17, п. 9 ч. 1 ст. 33, п. 7 ч. 1, ч. 3 ст. 34 Закона N 273-ФЗ).</w:t>
      </w:r>
      <w:proofErr w:type="gramEnd"/>
    </w:p>
    <w:p w:rsidR="00540ED7" w:rsidRDefault="004156C3">
      <w:pPr>
        <w:pStyle w:val="ConsPlusNormal"/>
        <w:spacing w:before="200"/>
        <w:jc w:val="both"/>
      </w:pPr>
      <w:r>
        <w:t>Рассмотрим более подробно особенности получ</w:t>
      </w:r>
      <w:r>
        <w:t>ения экстернами образования на примере общего образования.</w:t>
      </w:r>
    </w:p>
    <w:p w:rsidR="00540ED7" w:rsidRDefault="00540ED7">
      <w:pPr>
        <w:pStyle w:val="ConsPlusNormal"/>
        <w:jc w:val="both"/>
      </w:pPr>
    </w:p>
    <w:p w:rsidR="00540ED7" w:rsidRDefault="004156C3">
      <w:pPr>
        <w:pStyle w:val="ConsPlusNormal"/>
        <w:outlineLvl w:val="0"/>
      </w:pPr>
      <w:r>
        <w:rPr>
          <w:b/>
          <w:sz w:val="30"/>
        </w:rPr>
        <w:t>Особенности получения экстерном общего образования</w:t>
      </w:r>
    </w:p>
    <w:p w:rsidR="00540ED7" w:rsidRDefault="004156C3">
      <w:pPr>
        <w:pStyle w:val="ConsPlusNormal"/>
        <w:spacing w:before="200"/>
        <w:jc w:val="both"/>
      </w:pPr>
      <w:r>
        <w:t>Экстерны, не имеющие основного общего или среднего общего образования, вправе бесплатно пройти промежуточную и государственную итоговую аттестацию в организации, осуществляющей образовательную деятельность по соответствующей основной общеобразовательной пр</w:t>
      </w:r>
      <w:r>
        <w:t>ограмме, имеющей государственную аккредитацию (ч. 3 ст. 34 Закона N 273-ФЗ).</w:t>
      </w:r>
    </w:p>
    <w:p w:rsidR="00540ED7" w:rsidRDefault="004156C3">
      <w:pPr>
        <w:pStyle w:val="ConsPlusNormal"/>
        <w:spacing w:before="200"/>
        <w:jc w:val="both"/>
      </w:pPr>
      <w:r>
        <w:t>Порядок организации и прохождения аттестации, в том числе экстернами, устанавливается локальным актом образовательной организации, который должен быть доступен для беспрепятственн</w:t>
      </w:r>
      <w:r>
        <w:t>ого ознакомления, в частности размещен на сайте образовательной организации (</w:t>
      </w:r>
      <w:proofErr w:type="spellStart"/>
      <w:r>
        <w:t>абз</w:t>
      </w:r>
      <w:proofErr w:type="spellEnd"/>
      <w:r>
        <w:t xml:space="preserve">. 9 Письма </w:t>
      </w:r>
      <w:proofErr w:type="spellStart"/>
      <w:r>
        <w:t>Минобрнауки</w:t>
      </w:r>
      <w:proofErr w:type="spellEnd"/>
      <w:r>
        <w:t xml:space="preserve"> России N НТ-1139/08).</w:t>
      </w:r>
    </w:p>
    <w:p w:rsidR="00540ED7" w:rsidRDefault="004156C3">
      <w:pPr>
        <w:pStyle w:val="ConsPlusNormal"/>
        <w:spacing w:before="200"/>
        <w:jc w:val="both"/>
      </w:pPr>
      <w:r>
        <w:t>Организация при зачислении экстерна не отвечает за качество его образования, она несет ответственность только за организацию и пров</w:t>
      </w:r>
      <w:r>
        <w:t xml:space="preserve">едение промежуточной и итоговой аттестации, а также за обеспечение соответствующих академических прав обучающегося (ч. 1 ст. 34 Закона N 273-ФЗ; Письмо </w:t>
      </w:r>
      <w:proofErr w:type="spellStart"/>
      <w:r>
        <w:t>Минобрнауки</w:t>
      </w:r>
      <w:proofErr w:type="spellEnd"/>
      <w:r>
        <w:t xml:space="preserve"> России N НТ-1139/08).</w:t>
      </w:r>
    </w:p>
    <w:p w:rsidR="00540ED7" w:rsidRDefault="004156C3">
      <w:pPr>
        <w:pStyle w:val="ConsPlusNormal"/>
        <w:spacing w:before="200"/>
        <w:jc w:val="both"/>
      </w:pPr>
      <w:bookmarkStart w:id="0" w:name="_GoBack"/>
      <w:r>
        <w:t>Промежуточная аттестация обучающихся, завершающих освоение программ ос</w:t>
      </w:r>
      <w:r>
        <w:t xml:space="preserve">новного общего и среднего общего образования, определяет уровень освоения программы и возможность допуска к государственной итоговой аттестации (ГИА). </w:t>
      </w:r>
      <w:proofErr w:type="gramStart"/>
      <w:r>
        <w:t>Так, к ГИА могут быть допущены экстерны при условии получения на промежуточной аттестации отметок не ниже</w:t>
      </w:r>
      <w:r>
        <w:t xml:space="preserve"> удовлетворительных, а также имеющие результат "зачет" за итоговое собеседование по русскому языку (для сдачи ГИА по образовательной программе основного общего образования) или за итоговое сочинение (изложение) (для сдачи ГИА по образовательной программе с</w:t>
      </w:r>
      <w:r>
        <w:t xml:space="preserve">реднего общего образования) (п. 7 Порядка, утв. Приказом </w:t>
      </w:r>
      <w:proofErr w:type="spellStart"/>
      <w:r>
        <w:t>Минпросвещения</w:t>
      </w:r>
      <w:proofErr w:type="spellEnd"/>
      <w:r>
        <w:t xml:space="preserve"> России N 232</w:t>
      </w:r>
      <w:proofErr w:type="gramEnd"/>
      <w:r>
        <w:t xml:space="preserve">, </w:t>
      </w:r>
      <w:proofErr w:type="spellStart"/>
      <w:proofErr w:type="gramStart"/>
      <w:r>
        <w:t>Рособрнадзора</w:t>
      </w:r>
      <w:proofErr w:type="spellEnd"/>
      <w:r>
        <w:t xml:space="preserve"> N 551; п. 8 Порядка, утв. Приказом </w:t>
      </w:r>
      <w:proofErr w:type="spellStart"/>
      <w:r>
        <w:t>Минпросвещения</w:t>
      </w:r>
      <w:proofErr w:type="spellEnd"/>
      <w:r>
        <w:t xml:space="preserve"> России N 233, </w:t>
      </w:r>
      <w:proofErr w:type="spellStart"/>
      <w:r>
        <w:t>Рособрнадзора</w:t>
      </w:r>
      <w:proofErr w:type="spellEnd"/>
      <w:r>
        <w:t xml:space="preserve"> N 552).</w:t>
      </w:r>
      <w:proofErr w:type="gramEnd"/>
    </w:p>
    <w:p w:rsidR="00540ED7" w:rsidRDefault="004156C3">
      <w:pPr>
        <w:pStyle w:val="ConsPlusNormal"/>
        <w:spacing w:before="200"/>
        <w:jc w:val="both"/>
      </w:pPr>
      <w:r>
        <w:t>Неудовлетворительные результаты промежуточной аттестации по одному или</w:t>
      </w:r>
      <w:r>
        <w:t xml:space="preserve"> нескольким учебным предметам, курсам, дисциплинам (модулям)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задолженностью, которую обучающиеся обязаны ликвидировать. </w:t>
      </w:r>
      <w:proofErr w:type="gramStart"/>
      <w:r>
        <w:t>Образов</w:t>
      </w:r>
      <w:r>
        <w:t>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</w:t>
      </w:r>
      <w:r>
        <w:t xml:space="preserve"> и обеспечить контроль за своевременностью ее ликвидации (ч. 2 - 4 ст. 58 Закона N 273-ФЗ).</w:t>
      </w:r>
      <w:proofErr w:type="gramEnd"/>
    </w:p>
    <w:p w:rsidR="00540ED7" w:rsidRDefault="004156C3">
      <w:pPr>
        <w:pStyle w:val="ConsPlusNormal"/>
        <w:spacing w:before="200"/>
        <w:jc w:val="both"/>
      </w:pPr>
      <w:r>
        <w:t xml:space="preserve">Обучающиеся, имеющие академическую задолженность, вправе пройти промежуточную аттестацию по </w:t>
      </w:r>
      <w:proofErr w:type="gramStart"/>
      <w:r>
        <w:t>соответствующим</w:t>
      </w:r>
      <w:proofErr w:type="gramEnd"/>
      <w:r>
        <w:t xml:space="preserve"> учебному предмету, курсу, дисциплине (модулю) не более д</w:t>
      </w:r>
      <w:r>
        <w:t xml:space="preserve">вух раз в сроки, определяемые организацией, осуществляющей образовательную деятельность, в пределах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</w:t>
      </w:r>
      <w:r>
        <w:t>или отпуске по беременности и родам (ч. 5 ст. 58 Закона N 273-ФЗ).</w:t>
      </w:r>
    </w:p>
    <w:p w:rsidR="00540ED7" w:rsidRDefault="004156C3">
      <w:pPr>
        <w:pStyle w:val="ConsPlusNormal"/>
        <w:spacing w:before="200"/>
        <w:jc w:val="both"/>
      </w:pPr>
      <w: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</w:t>
      </w:r>
      <w:r>
        <w:t>скую задолженность, продолжают получать образование в образовательной организации (ч. 10 ст. 58 Закона N 273-ФЗ).</w:t>
      </w:r>
    </w:p>
    <w:p w:rsidR="00540ED7" w:rsidRDefault="004156C3">
      <w:pPr>
        <w:pStyle w:val="ConsPlusNormal"/>
        <w:spacing w:before="200"/>
        <w:jc w:val="both"/>
      </w:pPr>
      <w:r>
        <w:t xml:space="preserve">При получении удовлетворительных результатов ГИА в приложение к аттестату выставляются отметки, полученные </w:t>
      </w:r>
      <w:proofErr w:type="gramStart"/>
      <w:r>
        <w:t>обучающимся</w:t>
      </w:r>
      <w:proofErr w:type="gramEnd"/>
      <w:r>
        <w:t xml:space="preserve"> на промежуточной аттест</w:t>
      </w:r>
      <w:r>
        <w:t xml:space="preserve">ации. Форма получения образования и форма обучения </w:t>
      </w:r>
      <w:r>
        <w:lastRenderedPageBreak/>
        <w:t xml:space="preserve">в аттестате и приложении к нему не указываются (п. п. 5, 6 Порядка, утв. Приказом </w:t>
      </w:r>
      <w:proofErr w:type="spellStart"/>
      <w:r>
        <w:t>Минпросвещения</w:t>
      </w:r>
      <w:proofErr w:type="spellEnd"/>
      <w:r>
        <w:t xml:space="preserve"> России от 05.10.2020 N 546).</w:t>
      </w:r>
    </w:p>
    <w:bookmarkEnd w:id="0"/>
    <w:p w:rsidR="00540ED7" w:rsidRDefault="00540ED7">
      <w:pPr>
        <w:pStyle w:val="ConsPlusNormal"/>
        <w:jc w:val="both"/>
      </w:pPr>
    </w:p>
    <w:p w:rsidR="00540ED7" w:rsidRDefault="00540ED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"/>
        <w:gridCol w:w="420"/>
        <w:gridCol w:w="9427"/>
        <w:gridCol w:w="180"/>
      </w:tblGrid>
      <w:tr w:rsidR="00540ED7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ED7" w:rsidRDefault="00540ED7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540ED7" w:rsidRDefault="004156C3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540ED7" w:rsidRDefault="004156C3">
            <w:pPr>
              <w:pStyle w:val="ConsPlusNormal"/>
              <w:jc w:val="both"/>
            </w:pPr>
            <w:r>
              <w:t>См. также:</w:t>
            </w:r>
          </w:p>
          <w:p w:rsidR="00540ED7" w:rsidRDefault="004156C3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>Каков порядок получения семейного образования?</w:t>
            </w:r>
          </w:p>
          <w:p w:rsidR="00540ED7" w:rsidRDefault="004156C3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>Как проводится г</w:t>
            </w:r>
            <w:r>
              <w:t>осударственная итоговая аттестация учащихся 9-х классов?</w:t>
            </w:r>
          </w:p>
          <w:p w:rsidR="00540ED7" w:rsidRDefault="004156C3">
            <w:pPr>
              <w:pStyle w:val="ConsPlusNormal"/>
              <w:numPr>
                <w:ilvl w:val="0"/>
                <w:numId w:val="1"/>
              </w:numPr>
              <w:jc w:val="both"/>
            </w:pPr>
            <w:r>
              <w:t>Каков порядок проведения государственной итоговой аттестации в форме ЕГЭ для учащихся 11-х классов?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ED7" w:rsidRDefault="00540ED7">
            <w:pPr>
              <w:pStyle w:val="ConsPlusNormal"/>
            </w:pPr>
          </w:p>
        </w:tc>
      </w:tr>
    </w:tbl>
    <w:p w:rsidR="00540ED7" w:rsidRDefault="00540ED7">
      <w:pPr>
        <w:pStyle w:val="ConsPlusNormal"/>
        <w:jc w:val="both"/>
      </w:pPr>
    </w:p>
    <w:p w:rsidR="00540ED7" w:rsidRDefault="00540ED7">
      <w:pPr>
        <w:pStyle w:val="ConsPlusNormal"/>
        <w:jc w:val="both"/>
      </w:pPr>
    </w:p>
    <w:p w:rsidR="00540ED7" w:rsidRDefault="00540E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0ED7" w:rsidRDefault="00540ED7">
      <w:pPr>
        <w:pStyle w:val="ConsPlusNormal"/>
      </w:pPr>
    </w:p>
    <w:sectPr w:rsidR="00540E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C3" w:rsidRDefault="004156C3">
      <w:r>
        <w:separator/>
      </w:r>
    </w:p>
  </w:endnote>
  <w:endnote w:type="continuationSeparator" w:id="0">
    <w:p w:rsidR="004156C3" w:rsidRDefault="0041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D7" w:rsidRDefault="00540ED7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40ED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40ED7" w:rsidRDefault="004156C3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40ED7" w:rsidRDefault="004156C3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40ED7" w:rsidRDefault="004156C3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4347D">
            <w:rPr>
              <w:rFonts w:ascii="Tahoma" w:hAnsi="Tahoma" w:cs="Tahoma"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4347D">
            <w:rPr>
              <w:rFonts w:ascii="Tahoma" w:hAnsi="Tahoma" w:cs="Tahoma"/>
            </w:rPr>
            <w:t>3</w:t>
          </w:r>
          <w:r>
            <w:fldChar w:fldCharType="end"/>
          </w:r>
        </w:p>
      </w:tc>
    </w:tr>
  </w:tbl>
  <w:p w:rsidR="00540ED7" w:rsidRDefault="004156C3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D7" w:rsidRDefault="00540ED7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40ED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40ED7" w:rsidRDefault="004156C3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40ED7" w:rsidRDefault="004156C3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40ED7" w:rsidRDefault="004156C3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94347D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94347D"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540ED7" w:rsidRDefault="004156C3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C3" w:rsidRDefault="004156C3">
      <w:r>
        <w:separator/>
      </w:r>
    </w:p>
  </w:footnote>
  <w:footnote w:type="continuationSeparator" w:id="0">
    <w:p w:rsidR="004156C3" w:rsidRDefault="00415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40ED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40ED7" w:rsidRDefault="004156C3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Ситуация: Каковы </w:t>
          </w:r>
          <w:r>
            <w:rPr>
              <w:rFonts w:ascii="Tahoma" w:hAnsi="Tahoma" w:cs="Tahoma"/>
              <w:sz w:val="16"/>
              <w:szCs w:val="16"/>
            </w:rPr>
            <w:t>особенности получения образования экстерном?</w:t>
          </w:r>
          <w:r>
            <w:rPr>
              <w:rFonts w:ascii="Tahoma" w:hAnsi="Tahoma" w:cs="Tahoma"/>
              <w:sz w:val="16"/>
              <w:szCs w:val="16"/>
            </w:rPr>
            <w:br/>
            <w:t>("Электронный журнал "Азбука права", 2024)</w:t>
          </w:r>
        </w:p>
      </w:tc>
      <w:tc>
        <w:tcPr>
          <w:tcW w:w="2300" w:type="pct"/>
          <w:vAlign w:val="center"/>
        </w:tcPr>
        <w:p w:rsidR="00540ED7" w:rsidRDefault="004156C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 w:rsidR="00540ED7" w:rsidRDefault="00540ED7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540ED7" w:rsidRDefault="00540ED7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40ED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40ED7" w:rsidRDefault="004156C3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Ситуация: Каковы особенности получения образования экстерном?</w:t>
          </w:r>
          <w:r>
            <w:rPr>
              <w:rFonts w:ascii="Tahoma" w:hAnsi="Tahoma" w:cs="Tahoma"/>
              <w:sz w:val="16"/>
              <w:szCs w:val="16"/>
            </w:rPr>
            <w:br/>
            <w:t>("Электронный журнал "Азбука права", 2024)</w:t>
          </w:r>
        </w:p>
      </w:tc>
      <w:tc>
        <w:tcPr>
          <w:tcW w:w="2300" w:type="pct"/>
          <w:vAlign w:val="center"/>
        </w:tcPr>
        <w:p w:rsidR="00540ED7" w:rsidRDefault="004156C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</w:t>
          </w:r>
          <w:r>
            <w:rPr>
              <w:rFonts w:ascii="Tahoma" w:hAnsi="Tahoma" w:cs="Tahoma"/>
              <w:sz w:val="16"/>
              <w:szCs w:val="16"/>
            </w:rPr>
            <w:t>.01.2024</w:t>
          </w:r>
        </w:p>
      </w:tc>
    </w:tr>
  </w:tbl>
  <w:p w:rsidR="00540ED7" w:rsidRDefault="00540ED7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540ED7" w:rsidRDefault="00540ED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E6D88"/>
    <w:multiLevelType w:val="multilevel"/>
    <w:tmpl w:val="A66AC0F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0ED7"/>
    <w:rsid w:val="004156C3"/>
    <w:rsid w:val="00540ED7"/>
    <w:rsid w:val="00895D10"/>
    <w:rsid w:val="0094347D"/>
    <w:rsid w:val="00AB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95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Ситуация: Каковы особенности получения образования экстерном?
("Электронный журнал "Азбука права", 2024)</vt:lpstr>
    </vt:vector>
  </TitlesOfParts>
  <Company>КонсультантПлюс Версия 4023.00.52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Ситуация: Каковы особенности получения образования экстерном?
("Электронный журнал "Азбука права", 2024)</dc:title>
  <cp:lastModifiedBy>Иконникова Наталья Михайловна</cp:lastModifiedBy>
  <cp:revision>3</cp:revision>
  <cp:lastPrinted>2024-01-29T04:53:00Z</cp:lastPrinted>
  <dcterms:created xsi:type="dcterms:W3CDTF">2024-01-24T06:21:00Z</dcterms:created>
  <dcterms:modified xsi:type="dcterms:W3CDTF">2024-01-29T09:48:00Z</dcterms:modified>
</cp:coreProperties>
</file>